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0347" w14:textId="57E6F502" w:rsidR="00CD5E4A" w:rsidRPr="00157918" w:rsidRDefault="00CD5E4A" w:rsidP="00CD5E4A">
      <w:pPr>
        <w:rPr>
          <w:rFonts w:ascii="Times New Roman" w:hAnsi="Times New Roman" w:cs="Times New Roman"/>
          <w:b/>
          <w:bCs/>
          <w:sz w:val="40"/>
          <w:szCs w:val="40"/>
        </w:rPr>
      </w:pPr>
      <w:r w:rsidRPr="00157918">
        <w:rPr>
          <w:rFonts w:ascii="Times New Roman" w:hAnsi="Times New Roman" w:cs="Times New Roman"/>
          <w:b/>
          <w:bCs/>
          <w:sz w:val="40"/>
          <w:szCs w:val="40"/>
        </w:rPr>
        <w:t>Privacy Notice Direct Care</w:t>
      </w:r>
    </w:p>
    <w:tbl>
      <w:tblPr>
        <w:tblStyle w:val="TableGrid"/>
        <w:tblW w:w="0" w:type="auto"/>
        <w:tblLook w:val="04A0" w:firstRow="1" w:lastRow="0" w:firstColumn="1" w:lastColumn="0" w:noHBand="0" w:noVBand="1"/>
      </w:tblPr>
      <w:tblGrid>
        <w:gridCol w:w="3022"/>
        <w:gridCol w:w="5994"/>
      </w:tblGrid>
      <w:tr w:rsidR="00CD5E4A" w:rsidRPr="00157918" w14:paraId="0E16F575" w14:textId="77777777" w:rsidTr="00591981">
        <w:tc>
          <w:tcPr>
            <w:tcW w:w="9016" w:type="dxa"/>
            <w:gridSpan w:val="2"/>
          </w:tcPr>
          <w:p w14:paraId="131CB6F4" w14:textId="77777777" w:rsidR="00CD5E4A" w:rsidRPr="00157918" w:rsidRDefault="00CD5E4A" w:rsidP="00591981">
            <w:pPr>
              <w:rPr>
                <w:rFonts w:ascii="Times New Roman" w:hAnsi="Times New Roman" w:cs="Times New Roman"/>
                <w:b/>
                <w:bCs/>
                <w:sz w:val="28"/>
                <w:szCs w:val="28"/>
              </w:rPr>
            </w:pPr>
            <w:r w:rsidRPr="00157918">
              <w:rPr>
                <w:rFonts w:ascii="Times New Roman" w:hAnsi="Times New Roman" w:cs="Times New Roman"/>
                <w:b/>
                <w:bCs/>
                <w:sz w:val="28"/>
                <w:szCs w:val="28"/>
              </w:rPr>
              <w:t xml:space="preserve">Plain English explanation </w:t>
            </w:r>
          </w:p>
          <w:p w14:paraId="4FA3615E" w14:textId="77777777" w:rsidR="00CD5E4A" w:rsidRPr="00157918" w:rsidRDefault="00CD5E4A" w:rsidP="00591981">
            <w:pPr>
              <w:rPr>
                <w:rFonts w:ascii="Times New Roman" w:hAnsi="Times New Roman" w:cs="Times New Roman"/>
                <w:sz w:val="36"/>
                <w:szCs w:val="36"/>
              </w:rPr>
            </w:pPr>
          </w:p>
          <w:p w14:paraId="2D84D4A5" w14:textId="77777777" w:rsidR="00CD5E4A" w:rsidRPr="00157918" w:rsidRDefault="00CD5E4A" w:rsidP="00591981">
            <w:pPr>
              <w:rPr>
                <w:rFonts w:ascii="Times New Roman" w:hAnsi="Times New Roman" w:cs="Times New Roman"/>
                <w:sz w:val="28"/>
                <w:szCs w:val="28"/>
              </w:rPr>
            </w:pPr>
            <w:r w:rsidRPr="00157918">
              <w:rPr>
                <w:rFonts w:ascii="Times New Roman" w:hAnsi="Times New Roman" w:cs="Times New Roman"/>
                <w:sz w:val="28"/>
                <w:szCs w:val="28"/>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02190BDF" w14:textId="77777777" w:rsidR="00CD5E4A" w:rsidRPr="00157918" w:rsidRDefault="00CD5E4A" w:rsidP="00591981">
            <w:pPr>
              <w:rPr>
                <w:rFonts w:ascii="Times New Roman" w:hAnsi="Times New Roman" w:cs="Times New Roman"/>
                <w:b/>
                <w:bCs/>
                <w:sz w:val="28"/>
                <w:szCs w:val="28"/>
              </w:rPr>
            </w:pPr>
          </w:p>
          <w:p w14:paraId="73716FA0" w14:textId="77777777" w:rsidR="00CD5E4A" w:rsidRPr="00157918" w:rsidRDefault="00CD5E4A" w:rsidP="00591981">
            <w:pPr>
              <w:rPr>
                <w:rFonts w:ascii="Times New Roman" w:hAnsi="Times New Roman" w:cs="Times New Roman"/>
                <w:sz w:val="28"/>
                <w:szCs w:val="28"/>
              </w:rPr>
            </w:pPr>
            <w:r w:rsidRPr="00157918">
              <w:rPr>
                <w:rFonts w:ascii="Times New Roman" w:hAnsi="Times New Roman" w:cs="Times New Roman"/>
                <w:sz w:val="28"/>
                <w:szCs w:val="28"/>
              </w:rPr>
              <w:t>When registering for NHS care, all patients who receive NHS care are registered on a national database, the database is held by NHS Digital, a national organisation which has legal responsibilities to collect NHS</w:t>
            </w:r>
          </w:p>
          <w:p w14:paraId="26CFF679" w14:textId="77777777" w:rsidR="00CD5E4A" w:rsidRPr="00157918" w:rsidRDefault="00CD5E4A" w:rsidP="00591981">
            <w:pPr>
              <w:rPr>
                <w:rFonts w:ascii="Times New Roman" w:hAnsi="Times New Roman" w:cs="Times New Roman"/>
                <w:b/>
                <w:bCs/>
                <w:sz w:val="28"/>
                <w:szCs w:val="28"/>
              </w:rPr>
            </w:pPr>
          </w:p>
          <w:p w14:paraId="6114B612" w14:textId="77777777" w:rsidR="00CD5E4A" w:rsidRPr="00157918" w:rsidRDefault="00CD5E4A" w:rsidP="00591981">
            <w:pPr>
              <w:rPr>
                <w:rFonts w:ascii="Times New Roman" w:hAnsi="Times New Roman" w:cs="Times New Roman"/>
                <w:sz w:val="28"/>
                <w:szCs w:val="28"/>
              </w:rPr>
            </w:pPr>
            <w:r w:rsidRPr="00157918">
              <w:rPr>
                <w:rFonts w:ascii="Times New Roman" w:hAnsi="Times New Roman" w:cs="Times New Roman"/>
                <w:sz w:val="28"/>
                <w:szCs w:val="28"/>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organisations. 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w:t>
            </w:r>
          </w:p>
          <w:p w14:paraId="0E2F85A3" w14:textId="77777777" w:rsidR="00CD5E4A" w:rsidRPr="00157918" w:rsidRDefault="00CD5E4A" w:rsidP="00591981">
            <w:pPr>
              <w:rPr>
                <w:rFonts w:ascii="Times New Roman" w:hAnsi="Times New Roman" w:cs="Times New Roman"/>
                <w:b/>
                <w:bCs/>
                <w:sz w:val="28"/>
                <w:szCs w:val="28"/>
              </w:rPr>
            </w:pPr>
          </w:p>
          <w:p w14:paraId="39F39622" w14:textId="77777777" w:rsidR="00CD5E4A" w:rsidRPr="00157918" w:rsidRDefault="00CD5E4A" w:rsidP="00591981">
            <w:pPr>
              <w:rPr>
                <w:rFonts w:ascii="Times New Roman" w:hAnsi="Times New Roman" w:cs="Times New Roman"/>
                <w:sz w:val="28"/>
                <w:szCs w:val="28"/>
              </w:rPr>
            </w:pPr>
            <w:r w:rsidRPr="00157918">
              <w:rPr>
                <w:rFonts w:ascii="Times New Roman" w:hAnsi="Times New Roman" w:cs="Times New Roman"/>
                <w:sz w:val="28"/>
                <w:szCs w:val="28"/>
              </w:rPr>
              <w:t>Your consent to this sharing of data, within the practice and with those others outside the practice is assumed and is allowed by the Law.</w:t>
            </w:r>
          </w:p>
          <w:p w14:paraId="5A69FAA3" w14:textId="77777777" w:rsidR="00CD5E4A" w:rsidRPr="00157918" w:rsidRDefault="00CD5E4A" w:rsidP="00591981">
            <w:pPr>
              <w:rPr>
                <w:rFonts w:ascii="Times New Roman" w:hAnsi="Times New Roman" w:cs="Times New Roman"/>
                <w:b/>
                <w:bCs/>
                <w:sz w:val="28"/>
                <w:szCs w:val="28"/>
              </w:rPr>
            </w:pPr>
          </w:p>
          <w:p w14:paraId="2F2F5C1C" w14:textId="77777777" w:rsidR="00CD5E4A" w:rsidRPr="00157918" w:rsidRDefault="00CD5E4A" w:rsidP="00591981">
            <w:pPr>
              <w:rPr>
                <w:rFonts w:ascii="Times New Roman" w:hAnsi="Times New Roman" w:cs="Times New Roman"/>
                <w:sz w:val="28"/>
                <w:szCs w:val="28"/>
              </w:rPr>
            </w:pPr>
            <w:r w:rsidRPr="00157918">
              <w:rPr>
                <w:rFonts w:ascii="Times New Roman" w:hAnsi="Times New Roman" w:cs="Times New Roman"/>
                <w:sz w:val="28"/>
                <w:szCs w:val="28"/>
              </w:rPr>
              <w:t xml:space="preserve">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w:t>
            </w:r>
            <w:r w:rsidRPr="00157918">
              <w:rPr>
                <w:rFonts w:ascii="Times New Roman" w:hAnsi="Times New Roman" w:cs="Times New Roman"/>
                <w:sz w:val="28"/>
                <w:szCs w:val="28"/>
              </w:rPr>
              <w:lastRenderedPageBreak/>
              <w:t>GP you see or speak to will normally have access to everything in your record.</w:t>
            </w:r>
          </w:p>
          <w:p w14:paraId="1F6F7946" w14:textId="77777777" w:rsidR="00CD5E4A" w:rsidRPr="00157918" w:rsidRDefault="00CD5E4A" w:rsidP="00591981">
            <w:pPr>
              <w:rPr>
                <w:rFonts w:ascii="Times New Roman" w:hAnsi="Times New Roman" w:cs="Times New Roman"/>
                <w:b/>
                <w:bCs/>
                <w:sz w:val="28"/>
                <w:szCs w:val="28"/>
              </w:rPr>
            </w:pPr>
          </w:p>
          <w:p w14:paraId="0D02A45B" w14:textId="77777777" w:rsidR="00CD5E4A" w:rsidRPr="00157918" w:rsidRDefault="00CD5E4A" w:rsidP="00591981">
            <w:pPr>
              <w:rPr>
                <w:rFonts w:ascii="Times New Roman" w:hAnsi="Times New Roman" w:cs="Times New Roman"/>
                <w:sz w:val="28"/>
                <w:szCs w:val="28"/>
              </w:rPr>
            </w:pPr>
            <w:r w:rsidRPr="00157918">
              <w:rPr>
                <w:rFonts w:ascii="Times New Roman" w:hAnsi="Times New Roman" w:cs="Times New Roman"/>
                <w:sz w:val="28"/>
                <w:szCs w:val="28"/>
              </w:rPr>
              <w:t>You have the right to object to our sharing your data in these circumstances but we have an overriding responsibility to do what is in your best interests. Please see below.</w:t>
            </w:r>
          </w:p>
          <w:p w14:paraId="64102AC2" w14:textId="77777777" w:rsidR="00CD5E4A" w:rsidRPr="00157918" w:rsidRDefault="00CD5E4A" w:rsidP="00591981">
            <w:pPr>
              <w:rPr>
                <w:rFonts w:ascii="Times New Roman" w:hAnsi="Times New Roman" w:cs="Times New Roman"/>
                <w:b/>
                <w:bCs/>
                <w:sz w:val="28"/>
                <w:szCs w:val="28"/>
              </w:rPr>
            </w:pPr>
          </w:p>
          <w:p w14:paraId="7365B68A" w14:textId="77777777" w:rsidR="00CD5E4A" w:rsidRPr="00157918" w:rsidRDefault="00CD5E4A" w:rsidP="00591981">
            <w:pPr>
              <w:rPr>
                <w:rFonts w:ascii="Times New Roman" w:hAnsi="Times New Roman" w:cs="Times New Roman"/>
                <w:sz w:val="28"/>
                <w:szCs w:val="28"/>
              </w:rPr>
            </w:pPr>
            <w:r w:rsidRPr="00157918">
              <w:rPr>
                <w:rFonts w:ascii="Times New Roman" w:hAnsi="Times New Roman" w:cs="Times New Roman"/>
                <w:sz w:val="28"/>
                <w:szCs w:val="28"/>
              </w:rPr>
              <w:t>We are required by Articles in the General Data Protection Regulations to provide you with the information in the following 9 subsections.</w:t>
            </w:r>
          </w:p>
          <w:p w14:paraId="73A002C3" w14:textId="77777777" w:rsidR="00CD5E4A" w:rsidRPr="00157918" w:rsidRDefault="00CD5E4A" w:rsidP="00591981">
            <w:pPr>
              <w:rPr>
                <w:rFonts w:ascii="Times New Roman" w:hAnsi="Times New Roman" w:cs="Times New Roman"/>
                <w:b/>
                <w:bCs/>
              </w:rPr>
            </w:pPr>
          </w:p>
          <w:p w14:paraId="41A911A6" w14:textId="1DB9B3F9" w:rsidR="00CD5E4A" w:rsidRPr="00157918" w:rsidRDefault="00CD5E4A" w:rsidP="00591981">
            <w:pPr>
              <w:rPr>
                <w:rFonts w:ascii="Times New Roman" w:hAnsi="Times New Roman" w:cs="Times New Roman"/>
                <w:b/>
                <w:bCs/>
              </w:rPr>
            </w:pPr>
          </w:p>
        </w:tc>
      </w:tr>
      <w:tr w:rsidR="00CD5E4A" w:rsidRPr="00157918" w14:paraId="0E92085D" w14:textId="77777777" w:rsidTr="00591981">
        <w:tc>
          <w:tcPr>
            <w:tcW w:w="3022" w:type="dxa"/>
          </w:tcPr>
          <w:p w14:paraId="21D34F6A" w14:textId="77777777" w:rsidR="00CD5E4A" w:rsidRPr="00157918" w:rsidRDefault="00CD5E4A" w:rsidP="00591981">
            <w:pPr>
              <w:rPr>
                <w:rFonts w:ascii="Times New Roman" w:hAnsi="Times New Roman" w:cs="Times New Roman"/>
                <w:b/>
                <w:bCs/>
                <w:sz w:val="32"/>
                <w:szCs w:val="32"/>
              </w:rPr>
            </w:pPr>
            <w:r w:rsidRPr="00157918">
              <w:rPr>
                <w:rFonts w:ascii="Times New Roman" w:hAnsi="Times New Roman" w:cs="Times New Roman"/>
                <w:b/>
                <w:bCs/>
                <w:sz w:val="32"/>
                <w:szCs w:val="32"/>
              </w:rPr>
              <w:lastRenderedPageBreak/>
              <w:t xml:space="preserve">Data Controller </w:t>
            </w:r>
          </w:p>
          <w:p w14:paraId="429A5B0B" w14:textId="77777777" w:rsidR="00CD5E4A" w:rsidRPr="00157918" w:rsidRDefault="00CD5E4A" w:rsidP="00591981">
            <w:pPr>
              <w:rPr>
                <w:rFonts w:ascii="Times New Roman" w:hAnsi="Times New Roman" w:cs="Times New Roman"/>
                <w:sz w:val="24"/>
                <w:szCs w:val="24"/>
              </w:rPr>
            </w:pPr>
            <w:r w:rsidRPr="00157918">
              <w:rPr>
                <w:rFonts w:ascii="Times New Roman" w:hAnsi="Times New Roman" w:cs="Times New Roman"/>
                <w:sz w:val="24"/>
                <w:szCs w:val="24"/>
              </w:rPr>
              <w:t>contact details</w:t>
            </w:r>
          </w:p>
        </w:tc>
        <w:tc>
          <w:tcPr>
            <w:tcW w:w="5994" w:type="dxa"/>
          </w:tcPr>
          <w:p w14:paraId="36A37E0D" w14:textId="7DF8D902" w:rsidR="00CD5E4A" w:rsidRPr="00157918" w:rsidRDefault="00157918" w:rsidP="00591981">
            <w:pPr>
              <w:rPr>
                <w:rFonts w:ascii="Times New Roman" w:hAnsi="Times New Roman" w:cs="Times New Roman"/>
                <w:sz w:val="24"/>
                <w:szCs w:val="24"/>
              </w:rPr>
            </w:pPr>
            <w:r w:rsidRPr="00157918">
              <w:rPr>
                <w:rFonts w:ascii="Times New Roman" w:hAnsi="Times New Roman" w:cs="Times New Roman"/>
                <w:sz w:val="24"/>
                <w:szCs w:val="24"/>
              </w:rPr>
              <w:t>Langbank</w:t>
            </w:r>
            <w:r w:rsidR="00CD5E4A" w:rsidRPr="00157918">
              <w:rPr>
                <w:rFonts w:ascii="Times New Roman" w:hAnsi="Times New Roman" w:cs="Times New Roman"/>
                <w:sz w:val="24"/>
                <w:szCs w:val="24"/>
              </w:rPr>
              <w:t xml:space="preserve"> Medical Centre </w:t>
            </w:r>
          </w:p>
          <w:p w14:paraId="76ED5C5D" w14:textId="77777777" w:rsidR="00CD5E4A" w:rsidRPr="00157918" w:rsidRDefault="00157918" w:rsidP="00157918">
            <w:pPr>
              <w:rPr>
                <w:rFonts w:ascii="Times New Roman" w:hAnsi="Times New Roman" w:cs="Times New Roman"/>
                <w:color w:val="1F1F1F"/>
                <w:sz w:val="24"/>
                <w:szCs w:val="24"/>
                <w:shd w:val="clear" w:color="auto" w:fill="FFFFFF"/>
              </w:rPr>
            </w:pPr>
            <w:r w:rsidRPr="00157918">
              <w:rPr>
                <w:rFonts w:ascii="Times New Roman" w:hAnsi="Times New Roman" w:cs="Times New Roman"/>
                <w:color w:val="1F1F1F"/>
                <w:sz w:val="24"/>
                <w:szCs w:val="24"/>
                <w:shd w:val="clear" w:color="auto" w:fill="FFFFFF"/>
              </w:rPr>
              <w:t>101, Broadlane, Norris Green, Liverpool</w:t>
            </w:r>
          </w:p>
          <w:p w14:paraId="4914C973" w14:textId="77777777" w:rsidR="00157918" w:rsidRDefault="00157918" w:rsidP="00157918">
            <w:pPr>
              <w:rPr>
                <w:rFonts w:ascii="Times New Roman" w:hAnsi="Times New Roman" w:cs="Times New Roman"/>
                <w:color w:val="1F1F1F"/>
                <w:sz w:val="24"/>
                <w:szCs w:val="24"/>
                <w:shd w:val="clear" w:color="auto" w:fill="FFFFFF"/>
              </w:rPr>
            </w:pPr>
            <w:r w:rsidRPr="00157918">
              <w:rPr>
                <w:rFonts w:ascii="Times New Roman" w:hAnsi="Times New Roman" w:cs="Times New Roman"/>
                <w:color w:val="1F1F1F"/>
                <w:sz w:val="24"/>
                <w:szCs w:val="24"/>
                <w:shd w:val="clear" w:color="auto" w:fill="FFFFFF"/>
              </w:rPr>
              <w:t>L11 1AD</w:t>
            </w:r>
          </w:p>
          <w:p w14:paraId="3EC10964" w14:textId="5F0AF18E" w:rsidR="00D40FDA" w:rsidRPr="00157918" w:rsidRDefault="00D40FDA" w:rsidP="00157918">
            <w:pPr>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01512261976</w:t>
            </w:r>
          </w:p>
        </w:tc>
      </w:tr>
      <w:tr w:rsidR="00CD5E4A" w:rsidRPr="00157918" w14:paraId="0270213D" w14:textId="77777777" w:rsidTr="00591981">
        <w:tc>
          <w:tcPr>
            <w:tcW w:w="3022" w:type="dxa"/>
          </w:tcPr>
          <w:p w14:paraId="135792C2" w14:textId="7CA1DFBA" w:rsidR="00CD5E4A" w:rsidRPr="00157918" w:rsidRDefault="00CD5E4A" w:rsidP="00591981">
            <w:pPr>
              <w:rPr>
                <w:rFonts w:ascii="Times New Roman" w:hAnsi="Times New Roman" w:cs="Times New Roman"/>
                <w:b/>
                <w:bCs/>
                <w:sz w:val="32"/>
                <w:szCs w:val="32"/>
              </w:rPr>
            </w:pPr>
            <w:r w:rsidRPr="00157918">
              <w:rPr>
                <w:rFonts w:ascii="Times New Roman" w:hAnsi="Times New Roman" w:cs="Times New Roman"/>
                <w:b/>
                <w:bCs/>
                <w:sz w:val="32"/>
                <w:szCs w:val="32"/>
              </w:rPr>
              <w:t xml:space="preserve">Data Protection Officer  </w:t>
            </w:r>
          </w:p>
          <w:p w14:paraId="21A5CE15" w14:textId="77777777" w:rsidR="00CD5E4A" w:rsidRPr="00157918" w:rsidRDefault="00CD5E4A" w:rsidP="00591981">
            <w:pPr>
              <w:rPr>
                <w:rFonts w:ascii="Times New Roman" w:hAnsi="Times New Roman" w:cs="Times New Roman"/>
                <w:sz w:val="24"/>
                <w:szCs w:val="24"/>
              </w:rPr>
            </w:pPr>
            <w:r w:rsidRPr="00157918">
              <w:rPr>
                <w:rFonts w:ascii="Times New Roman" w:hAnsi="Times New Roman" w:cs="Times New Roman"/>
                <w:sz w:val="24"/>
                <w:szCs w:val="24"/>
              </w:rPr>
              <w:t>contact details</w:t>
            </w:r>
          </w:p>
        </w:tc>
        <w:tc>
          <w:tcPr>
            <w:tcW w:w="5994" w:type="dxa"/>
          </w:tcPr>
          <w:p w14:paraId="550AC584" w14:textId="77777777" w:rsidR="006E4263" w:rsidRPr="00822B2A" w:rsidRDefault="006E4263" w:rsidP="006E4263">
            <w:pPr>
              <w:jc w:val="both"/>
              <w:rPr>
                <w:b/>
                <w:bCs/>
              </w:rPr>
            </w:pPr>
            <w:r w:rsidRPr="00822B2A">
              <w:rPr>
                <w:b/>
                <w:bCs/>
              </w:rPr>
              <w:t>Helen Kershaw</w:t>
            </w:r>
          </w:p>
          <w:p w14:paraId="19484753" w14:textId="77777777" w:rsidR="006E4263" w:rsidRDefault="006E4263" w:rsidP="006E4263">
            <w:pPr>
              <w:jc w:val="both"/>
              <w:rPr>
                <w:b/>
                <w:bCs/>
              </w:rPr>
            </w:pPr>
            <w:r w:rsidRPr="001B3FBC">
              <w:rPr>
                <w:b/>
                <w:bCs/>
              </w:rPr>
              <w:t>Head of Information Governance</w:t>
            </w:r>
          </w:p>
          <w:p w14:paraId="04E503FD" w14:textId="77777777" w:rsidR="006E4263" w:rsidRPr="00AF5387" w:rsidRDefault="006E4263" w:rsidP="006E4263">
            <w:pPr>
              <w:jc w:val="both"/>
              <w:rPr>
                <w:b/>
                <w:bCs/>
              </w:rPr>
            </w:pPr>
            <w:r w:rsidRPr="00AF5387">
              <w:rPr>
                <w:b/>
                <w:bCs/>
              </w:rPr>
              <w:t>NHS Informatics Merseyside</w:t>
            </w:r>
          </w:p>
          <w:p w14:paraId="60D6A34D" w14:textId="77777777" w:rsidR="006E4263" w:rsidRPr="00AF5387" w:rsidRDefault="006E4263" w:rsidP="006E4263">
            <w:pPr>
              <w:jc w:val="both"/>
              <w:rPr>
                <w:b/>
                <w:bCs/>
              </w:rPr>
            </w:pPr>
            <w:r w:rsidRPr="00AF5387">
              <w:rPr>
                <w:b/>
                <w:bCs/>
              </w:rPr>
              <w:t>Information Governance Team</w:t>
            </w:r>
          </w:p>
          <w:p w14:paraId="2543A920" w14:textId="77777777" w:rsidR="006E4263" w:rsidRDefault="006E4263" w:rsidP="006E4263">
            <w:pPr>
              <w:jc w:val="both"/>
              <w:rPr>
                <w:b/>
                <w:bCs/>
              </w:rPr>
            </w:pPr>
            <w:r w:rsidRPr="00AF5387">
              <w:rPr>
                <w:b/>
                <w:bCs/>
              </w:rPr>
              <w:t xml:space="preserve">Hollins Park </w:t>
            </w:r>
          </w:p>
          <w:p w14:paraId="2FBBF689" w14:textId="77777777" w:rsidR="006E4263" w:rsidRPr="00AF5387" w:rsidRDefault="006E4263" w:rsidP="006E4263">
            <w:pPr>
              <w:jc w:val="both"/>
              <w:rPr>
                <w:b/>
                <w:bCs/>
              </w:rPr>
            </w:pPr>
            <w:r w:rsidRPr="00AF5387">
              <w:rPr>
                <w:b/>
                <w:bCs/>
              </w:rPr>
              <w:t>Winwick</w:t>
            </w:r>
          </w:p>
          <w:p w14:paraId="58EDAB4D" w14:textId="77777777" w:rsidR="006E4263" w:rsidRPr="00AF5387" w:rsidRDefault="006E4263" w:rsidP="006E4263">
            <w:pPr>
              <w:jc w:val="both"/>
              <w:rPr>
                <w:b/>
                <w:bCs/>
              </w:rPr>
            </w:pPr>
            <w:r w:rsidRPr="00AF5387">
              <w:rPr>
                <w:b/>
                <w:bCs/>
              </w:rPr>
              <w:t>Warrington</w:t>
            </w:r>
          </w:p>
          <w:p w14:paraId="30D19864" w14:textId="77777777" w:rsidR="006E4263" w:rsidRPr="00AF5387" w:rsidRDefault="006E4263" w:rsidP="006E4263">
            <w:pPr>
              <w:jc w:val="both"/>
              <w:rPr>
                <w:b/>
                <w:bCs/>
              </w:rPr>
            </w:pPr>
            <w:r w:rsidRPr="00AF5387">
              <w:rPr>
                <w:b/>
                <w:bCs/>
              </w:rPr>
              <w:t>WA2 8WA</w:t>
            </w:r>
          </w:p>
          <w:p w14:paraId="73D011FC" w14:textId="77777777" w:rsidR="006E4263" w:rsidRPr="001B3FBC" w:rsidRDefault="00076AD4" w:rsidP="006E4263">
            <w:pPr>
              <w:jc w:val="both"/>
              <w:rPr>
                <w:b/>
                <w:bCs/>
              </w:rPr>
            </w:pPr>
            <w:hyperlink r:id="rId7" w:history="1">
              <w:r w:rsidR="006E4263" w:rsidRPr="00996333">
                <w:rPr>
                  <w:rStyle w:val="Hyperlink"/>
                  <w:b/>
                  <w:bCs/>
                </w:rPr>
                <w:t>DPO.IM@imerseyside.nhs.uk</w:t>
              </w:r>
            </w:hyperlink>
            <w:r w:rsidR="006E4263">
              <w:rPr>
                <w:b/>
                <w:bCs/>
              </w:rPr>
              <w:t xml:space="preserve"> </w:t>
            </w:r>
          </w:p>
          <w:p w14:paraId="022938AE" w14:textId="0A435B1B" w:rsidR="00157918" w:rsidRPr="00157918" w:rsidRDefault="00157918" w:rsidP="00157918">
            <w:pPr>
              <w:rPr>
                <w:rFonts w:ascii="Times New Roman" w:hAnsi="Times New Roman" w:cs="Times New Roman"/>
                <w:color w:val="1F1F1F"/>
                <w:sz w:val="24"/>
                <w:szCs w:val="24"/>
                <w:shd w:val="clear" w:color="auto" w:fill="FFFFFF"/>
              </w:rPr>
            </w:pPr>
          </w:p>
        </w:tc>
      </w:tr>
      <w:tr w:rsidR="00CD5E4A" w:rsidRPr="00157918" w14:paraId="78FC4638" w14:textId="77777777" w:rsidTr="00591981">
        <w:trPr>
          <w:trHeight w:val="690"/>
        </w:trPr>
        <w:tc>
          <w:tcPr>
            <w:tcW w:w="3022" w:type="dxa"/>
          </w:tcPr>
          <w:p w14:paraId="22B7D337" w14:textId="77777777" w:rsidR="00CD5E4A" w:rsidRPr="00157918" w:rsidRDefault="00CD5E4A" w:rsidP="00591981">
            <w:pPr>
              <w:rPr>
                <w:rFonts w:ascii="Times New Roman" w:hAnsi="Times New Roman" w:cs="Times New Roman"/>
                <w:b/>
                <w:bCs/>
                <w:sz w:val="24"/>
                <w:szCs w:val="24"/>
              </w:rPr>
            </w:pPr>
            <w:r w:rsidRPr="00157918">
              <w:rPr>
                <w:rFonts w:ascii="Times New Roman" w:hAnsi="Times New Roman" w:cs="Times New Roman"/>
                <w:b/>
                <w:bCs/>
                <w:sz w:val="32"/>
                <w:szCs w:val="32"/>
              </w:rPr>
              <w:t>Purpose of the processing</w:t>
            </w:r>
          </w:p>
        </w:tc>
        <w:tc>
          <w:tcPr>
            <w:tcW w:w="5994" w:type="dxa"/>
          </w:tcPr>
          <w:p w14:paraId="136CB438" w14:textId="77777777" w:rsidR="00CD5E4A" w:rsidRPr="00157918" w:rsidRDefault="00CD5E4A" w:rsidP="00591981">
            <w:pPr>
              <w:rPr>
                <w:rFonts w:ascii="Times New Roman" w:hAnsi="Times New Roman" w:cs="Times New Roman"/>
                <w:sz w:val="24"/>
                <w:szCs w:val="24"/>
              </w:rPr>
            </w:pPr>
            <w:r w:rsidRPr="00157918">
              <w:rPr>
                <w:rFonts w:ascii="Times New Roman" w:hAnsi="Times New Roman" w:cs="Times New Roman"/>
                <w:sz w:val="24"/>
                <w:szCs w:val="24"/>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p w14:paraId="012EBC59" w14:textId="45DA3CF7" w:rsidR="00CD5E4A" w:rsidRPr="00157918" w:rsidRDefault="00CD5E4A" w:rsidP="00591981">
            <w:pPr>
              <w:rPr>
                <w:rFonts w:ascii="Times New Roman" w:hAnsi="Times New Roman" w:cs="Times New Roman"/>
                <w:b/>
                <w:bCs/>
                <w:sz w:val="24"/>
                <w:szCs w:val="24"/>
              </w:rPr>
            </w:pPr>
          </w:p>
        </w:tc>
      </w:tr>
      <w:tr w:rsidR="00CD5E4A" w:rsidRPr="00157918" w14:paraId="7EA67F29" w14:textId="77777777" w:rsidTr="00591981">
        <w:trPr>
          <w:trHeight w:val="3252"/>
        </w:trPr>
        <w:tc>
          <w:tcPr>
            <w:tcW w:w="3022" w:type="dxa"/>
          </w:tcPr>
          <w:p w14:paraId="011ED2C7" w14:textId="77777777" w:rsidR="00CD5E4A" w:rsidRPr="00157918" w:rsidRDefault="00CD5E4A" w:rsidP="00591981">
            <w:pPr>
              <w:rPr>
                <w:rFonts w:ascii="Times New Roman" w:hAnsi="Times New Roman" w:cs="Times New Roman"/>
                <w:b/>
                <w:bCs/>
                <w:sz w:val="24"/>
                <w:szCs w:val="24"/>
              </w:rPr>
            </w:pPr>
            <w:r w:rsidRPr="00157918">
              <w:rPr>
                <w:rFonts w:ascii="Times New Roman" w:hAnsi="Times New Roman" w:cs="Times New Roman"/>
                <w:b/>
                <w:bCs/>
                <w:sz w:val="32"/>
                <w:szCs w:val="32"/>
              </w:rPr>
              <w:t xml:space="preserve">Lawful basis </w:t>
            </w:r>
            <w:r w:rsidRPr="00157918">
              <w:rPr>
                <w:rFonts w:ascii="Times New Roman" w:hAnsi="Times New Roman" w:cs="Times New Roman"/>
                <w:sz w:val="32"/>
                <w:szCs w:val="32"/>
              </w:rPr>
              <w:t>for processing</w:t>
            </w:r>
          </w:p>
        </w:tc>
        <w:tc>
          <w:tcPr>
            <w:tcW w:w="5994" w:type="dxa"/>
          </w:tcPr>
          <w:p w14:paraId="1688C1AF" w14:textId="3CEF14C6" w:rsidR="00CD5E4A" w:rsidRPr="00157918" w:rsidRDefault="00CD5E4A" w:rsidP="00591981">
            <w:pPr>
              <w:rPr>
                <w:rFonts w:ascii="Times New Roman" w:hAnsi="Times New Roman" w:cs="Times New Roman"/>
                <w:sz w:val="24"/>
                <w:szCs w:val="24"/>
              </w:rPr>
            </w:pPr>
            <w:r w:rsidRPr="00157918">
              <w:rPr>
                <w:rFonts w:ascii="Times New Roman" w:hAnsi="Times New Roman" w:cs="Times New Roman"/>
                <w:sz w:val="24"/>
                <w:szCs w:val="24"/>
              </w:rPr>
              <w:t>The processing of personal data in the delivery of direct care and for providers’ administrative purposes in this surgery and in support of direct care elsewhere is supported under the following Article 6 and 9 conditions of the GDPR:</w:t>
            </w:r>
          </w:p>
          <w:p w14:paraId="1C215ABB" w14:textId="77777777" w:rsidR="00CD5E4A" w:rsidRPr="00157918" w:rsidRDefault="00CD5E4A" w:rsidP="00591981">
            <w:pPr>
              <w:rPr>
                <w:rFonts w:ascii="Times New Roman" w:hAnsi="Times New Roman" w:cs="Times New Roman"/>
                <w:sz w:val="24"/>
                <w:szCs w:val="24"/>
              </w:rPr>
            </w:pPr>
          </w:p>
          <w:p w14:paraId="177B228E" w14:textId="77777777" w:rsidR="00CD5E4A" w:rsidRPr="00157918" w:rsidRDefault="00CD5E4A" w:rsidP="00591981">
            <w:pPr>
              <w:rPr>
                <w:rFonts w:ascii="Times New Roman" w:hAnsi="Times New Roman" w:cs="Times New Roman"/>
                <w:sz w:val="24"/>
                <w:szCs w:val="24"/>
              </w:rPr>
            </w:pPr>
            <w:r w:rsidRPr="00157918">
              <w:rPr>
                <w:rFonts w:ascii="Times New Roman" w:hAnsi="Times New Roman" w:cs="Times New Roman"/>
                <w:sz w:val="24"/>
                <w:szCs w:val="24"/>
              </w:rPr>
              <w:t xml:space="preserve">Article 6(1)(c) – ‘processing is necessary for compliance with a legal obligation to which the controller is subject…’ </w:t>
            </w:r>
          </w:p>
          <w:p w14:paraId="69E9679B" w14:textId="77777777" w:rsidR="00CD5E4A" w:rsidRPr="00157918" w:rsidRDefault="00CD5E4A" w:rsidP="00591981">
            <w:pPr>
              <w:rPr>
                <w:rFonts w:ascii="Times New Roman" w:hAnsi="Times New Roman" w:cs="Times New Roman"/>
                <w:sz w:val="24"/>
                <w:szCs w:val="24"/>
              </w:rPr>
            </w:pPr>
            <w:r w:rsidRPr="00157918">
              <w:rPr>
                <w:rFonts w:ascii="Times New Roman" w:hAnsi="Times New Roman" w:cs="Times New Roman"/>
                <w:sz w:val="24"/>
                <w:szCs w:val="24"/>
              </w:rPr>
              <w:t>Article 9(2)(h) – ‘processing is necessary for the purpose of preventative…medicine…the provision of health or social care or treatment or the management of health or social care systems and services...’</w:t>
            </w:r>
          </w:p>
          <w:p w14:paraId="6454FAE5" w14:textId="77777777" w:rsidR="00CD5E4A" w:rsidRPr="00157918" w:rsidRDefault="00CD5E4A" w:rsidP="00591981">
            <w:pPr>
              <w:rPr>
                <w:rFonts w:ascii="Times New Roman" w:hAnsi="Times New Roman" w:cs="Times New Roman"/>
                <w:sz w:val="24"/>
                <w:szCs w:val="24"/>
              </w:rPr>
            </w:pPr>
          </w:p>
          <w:p w14:paraId="07DF4AEC" w14:textId="71FD1824" w:rsidR="00CD5E4A" w:rsidRPr="00157918" w:rsidRDefault="00CD5E4A" w:rsidP="00591981">
            <w:pPr>
              <w:rPr>
                <w:rFonts w:ascii="Times New Roman" w:hAnsi="Times New Roman" w:cs="Times New Roman"/>
                <w:sz w:val="24"/>
                <w:szCs w:val="24"/>
              </w:rPr>
            </w:pPr>
            <w:r w:rsidRPr="00157918">
              <w:rPr>
                <w:rFonts w:ascii="Times New Roman" w:hAnsi="Times New Roman" w:cs="Times New Roman"/>
                <w:sz w:val="24"/>
                <w:szCs w:val="24"/>
              </w:rPr>
              <w:lastRenderedPageBreak/>
              <w:t>We will also recognise your rights established under UK case law collectively known as the “Common Law Duty of Confidentiality”*</w:t>
            </w:r>
          </w:p>
          <w:p w14:paraId="3A38887A" w14:textId="77777777" w:rsidR="00CD5E4A" w:rsidRPr="00157918" w:rsidRDefault="00CD5E4A" w:rsidP="00591981">
            <w:pPr>
              <w:rPr>
                <w:rFonts w:ascii="Times New Roman" w:hAnsi="Times New Roman" w:cs="Times New Roman"/>
                <w:sz w:val="24"/>
                <w:szCs w:val="24"/>
              </w:rPr>
            </w:pPr>
          </w:p>
          <w:p w14:paraId="25D88657" w14:textId="77777777" w:rsidR="00CD5E4A" w:rsidRPr="00157918" w:rsidRDefault="00CD5E4A" w:rsidP="00591981">
            <w:pPr>
              <w:rPr>
                <w:rFonts w:ascii="Times New Roman" w:hAnsi="Times New Roman" w:cs="Times New Roman"/>
                <w:sz w:val="24"/>
                <w:szCs w:val="24"/>
              </w:rPr>
            </w:pPr>
            <w:r w:rsidRPr="00157918">
              <w:rPr>
                <w:rFonts w:ascii="Times New Roman" w:hAnsi="Times New Roman" w:cs="Times New Roman"/>
                <w:sz w:val="24"/>
                <w:szCs w:val="24"/>
              </w:rPr>
              <w:t>We will also recognise your rights established under UK case law collectively known as the “Common Law Duty of Confidentiality”*</w:t>
            </w:r>
          </w:p>
        </w:tc>
      </w:tr>
      <w:tr w:rsidR="00CD5E4A" w:rsidRPr="00157918" w14:paraId="2557FE56" w14:textId="77777777" w:rsidTr="00591981">
        <w:trPr>
          <w:trHeight w:val="832"/>
        </w:trPr>
        <w:tc>
          <w:tcPr>
            <w:tcW w:w="3022" w:type="dxa"/>
          </w:tcPr>
          <w:p w14:paraId="546933A4" w14:textId="77777777" w:rsidR="00CD5E4A" w:rsidRPr="00157918" w:rsidRDefault="00CD5E4A" w:rsidP="00591981">
            <w:pPr>
              <w:rPr>
                <w:rFonts w:ascii="Times New Roman" w:hAnsi="Times New Roman" w:cs="Times New Roman"/>
                <w:sz w:val="24"/>
                <w:szCs w:val="24"/>
              </w:rPr>
            </w:pPr>
            <w:r w:rsidRPr="00157918">
              <w:rPr>
                <w:rFonts w:ascii="Times New Roman" w:hAnsi="Times New Roman" w:cs="Times New Roman"/>
                <w:b/>
                <w:bCs/>
                <w:sz w:val="32"/>
                <w:szCs w:val="32"/>
              </w:rPr>
              <w:lastRenderedPageBreak/>
              <w:t>Recipient or categories of recipients</w:t>
            </w:r>
            <w:r w:rsidRPr="00157918">
              <w:rPr>
                <w:rFonts w:ascii="Times New Roman" w:hAnsi="Times New Roman" w:cs="Times New Roman"/>
                <w:sz w:val="32"/>
                <w:szCs w:val="32"/>
              </w:rPr>
              <w:t xml:space="preserve"> of the processed data</w:t>
            </w:r>
          </w:p>
        </w:tc>
        <w:tc>
          <w:tcPr>
            <w:tcW w:w="5994" w:type="dxa"/>
          </w:tcPr>
          <w:p w14:paraId="05F8656F" w14:textId="0AC9D564" w:rsidR="00CD5E4A" w:rsidRPr="00157918" w:rsidRDefault="00CD5E4A" w:rsidP="00CD5E4A">
            <w:pPr>
              <w:pStyle w:val="ListParagraph"/>
              <w:numPr>
                <w:ilvl w:val="0"/>
                <w:numId w:val="1"/>
              </w:numPr>
              <w:rPr>
                <w:rFonts w:ascii="Times New Roman" w:hAnsi="Times New Roman" w:cs="Times New Roman"/>
                <w:sz w:val="24"/>
                <w:szCs w:val="24"/>
              </w:rPr>
            </w:pPr>
            <w:r w:rsidRPr="00157918">
              <w:rPr>
                <w:rFonts w:ascii="Times New Roman" w:hAnsi="Times New Roman" w:cs="Times New Roman"/>
                <w:sz w:val="24"/>
                <w:szCs w:val="24"/>
              </w:rPr>
              <w:t>The data will be shared with Health and care professionals and support staff in this surgery and at hospitals, diagnostic and treatment centres who contribute to your personal care. This may include but is not limited to: The Royal Liverpool &amp; Broadgreen University Hospitals, Liverpool Heart &amp; Chest Hospital, Merseycare NHS Trust, Alder Hey Children’s hospital, Liverpool Women’s Hospital, The Walton Centre.</w:t>
            </w:r>
          </w:p>
        </w:tc>
      </w:tr>
      <w:tr w:rsidR="00CD5E4A" w:rsidRPr="00157918" w14:paraId="58B80419" w14:textId="77777777" w:rsidTr="00591981">
        <w:trPr>
          <w:trHeight w:val="6936"/>
        </w:trPr>
        <w:tc>
          <w:tcPr>
            <w:tcW w:w="3022" w:type="dxa"/>
          </w:tcPr>
          <w:p w14:paraId="3BC4E6C2" w14:textId="77777777" w:rsidR="00CD5E4A" w:rsidRPr="00157918" w:rsidRDefault="00CD5E4A" w:rsidP="00591981">
            <w:pPr>
              <w:rPr>
                <w:rFonts w:ascii="Times New Roman" w:hAnsi="Times New Roman" w:cs="Times New Roman"/>
                <w:b/>
                <w:bCs/>
                <w:sz w:val="24"/>
                <w:szCs w:val="24"/>
              </w:rPr>
            </w:pPr>
            <w:r w:rsidRPr="00157918">
              <w:rPr>
                <w:rFonts w:ascii="Times New Roman" w:hAnsi="Times New Roman" w:cs="Times New Roman"/>
                <w:b/>
                <w:bCs/>
                <w:sz w:val="32"/>
                <w:szCs w:val="32"/>
              </w:rPr>
              <w:t>Rights to object and the national data opt-out</w:t>
            </w:r>
          </w:p>
        </w:tc>
        <w:tc>
          <w:tcPr>
            <w:tcW w:w="5994" w:type="dxa"/>
          </w:tcPr>
          <w:p w14:paraId="50DA1081" w14:textId="38FA58D4" w:rsidR="00CD5E4A" w:rsidRPr="00157918" w:rsidRDefault="00CD5E4A" w:rsidP="00591981">
            <w:pPr>
              <w:rPr>
                <w:rFonts w:ascii="Times New Roman" w:hAnsi="Times New Roman" w:cs="Times New Roman"/>
                <w:sz w:val="24"/>
                <w:szCs w:val="24"/>
              </w:rPr>
            </w:pPr>
            <w:r w:rsidRPr="00157918">
              <w:rPr>
                <w:rFonts w:ascii="Times New Roman" w:hAnsi="Times New Roman" w:cs="Times New Roman"/>
                <w:sz w:val="24"/>
                <w:szCs w:val="24"/>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CD5E4A" w:rsidRPr="00157918" w14:paraId="330A40A3" w14:textId="77777777" w:rsidTr="00591981">
        <w:trPr>
          <w:trHeight w:val="4526"/>
        </w:trPr>
        <w:tc>
          <w:tcPr>
            <w:tcW w:w="3022" w:type="dxa"/>
          </w:tcPr>
          <w:p w14:paraId="268207C1" w14:textId="77777777" w:rsidR="00CD5E4A" w:rsidRPr="00157918" w:rsidRDefault="00CD5E4A" w:rsidP="00591981">
            <w:pPr>
              <w:rPr>
                <w:rFonts w:ascii="Times New Roman" w:hAnsi="Times New Roman" w:cs="Times New Roman"/>
                <w:b/>
                <w:bCs/>
                <w:sz w:val="36"/>
                <w:szCs w:val="36"/>
              </w:rPr>
            </w:pPr>
            <w:r w:rsidRPr="00157918">
              <w:rPr>
                <w:rFonts w:ascii="Times New Roman" w:hAnsi="Times New Roman" w:cs="Times New Roman"/>
                <w:b/>
                <w:bCs/>
                <w:sz w:val="32"/>
                <w:szCs w:val="32"/>
              </w:rPr>
              <w:lastRenderedPageBreak/>
              <w:t>Right to access and correct</w:t>
            </w:r>
          </w:p>
        </w:tc>
        <w:tc>
          <w:tcPr>
            <w:tcW w:w="5994" w:type="dxa"/>
          </w:tcPr>
          <w:p w14:paraId="361732F2" w14:textId="5C572D21" w:rsidR="00CD5E4A" w:rsidRPr="00157918" w:rsidRDefault="00CD5E4A" w:rsidP="00CD5E4A">
            <w:pPr>
              <w:rPr>
                <w:rFonts w:ascii="Times New Roman" w:hAnsi="Times New Roman" w:cs="Times New Roman"/>
                <w:sz w:val="28"/>
                <w:szCs w:val="28"/>
              </w:rPr>
            </w:pPr>
            <w:r w:rsidRPr="00157918">
              <w:rPr>
                <w:rFonts w:ascii="Times New Roman" w:hAnsi="Times New Roman" w:cs="Times New Roman"/>
                <w:sz w:val="24"/>
                <w:szCs w:val="24"/>
              </w:rPr>
              <w:t>You have the right to access the data that is being shared and have any inaccuracies corrected. There is no right to have accurate medical records deleted except when ordered by a court of Law</w:t>
            </w:r>
          </w:p>
        </w:tc>
      </w:tr>
      <w:tr w:rsidR="00CD5E4A" w:rsidRPr="00157918" w14:paraId="69879E35" w14:textId="77777777" w:rsidTr="00591981">
        <w:trPr>
          <w:trHeight w:val="1982"/>
        </w:trPr>
        <w:tc>
          <w:tcPr>
            <w:tcW w:w="3022" w:type="dxa"/>
          </w:tcPr>
          <w:p w14:paraId="2B5E7513" w14:textId="77777777" w:rsidR="00CD5E4A" w:rsidRPr="00157918" w:rsidRDefault="00CD5E4A" w:rsidP="00591981">
            <w:pPr>
              <w:rPr>
                <w:rFonts w:ascii="Times New Roman" w:hAnsi="Times New Roman" w:cs="Times New Roman"/>
                <w:b/>
                <w:bCs/>
                <w:sz w:val="32"/>
                <w:szCs w:val="32"/>
              </w:rPr>
            </w:pPr>
            <w:r w:rsidRPr="00157918">
              <w:rPr>
                <w:rFonts w:ascii="Times New Roman" w:hAnsi="Times New Roman" w:cs="Times New Roman"/>
                <w:b/>
                <w:bCs/>
                <w:sz w:val="32"/>
                <w:szCs w:val="32"/>
              </w:rPr>
              <w:t>Retention period</w:t>
            </w:r>
          </w:p>
        </w:tc>
        <w:tc>
          <w:tcPr>
            <w:tcW w:w="5994" w:type="dxa"/>
          </w:tcPr>
          <w:p w14:paraId="5430A71B" w14:textId="7B4CFB0E" w:rsidR="00CD5E4A" w:rsidRPr="00157918" w:rsidRDefault="00CD5E4A" w:rsidP="00591981">
            <w:pPr>
              <w:pStyle w:val="ListParagraph"/>
              <w:rPr>
                <w:rFonts w:ascii="Times New Roman" w:hAnsi="Times New Roman" w:cs="Times New Roman"/>
                <w:sz w:val="24"/>
                <w:szCs w:val="24"/>
              </w:rPr>
            </w:pPr>
            <w:r w:rsidRPr="00157918">
              <w:rPr>
                <w:rFonts w:ascii="Times New Roman" w:hAnsi="Times New Roman" w:cs="Times New Roman"/>
                <w:sz w:val="24"/>
                <w:szCs w:val="24"/>
              </w:rPr>
              <w:t xml:space="preserve">The data will be retained in line with the law and national guidance. </w:t>
            </w:r>
            <w:hyperlink r:id="rId8" w:history="1">
              <w:r w:rsidRPr="00157918">
                <w:rPr>
                  <w:rStyle w:val="Hyperlink"/>
                  <w:rFonts w:ascii="Times New Roman" w:hAnsi="Times New Roman" w:cs="Times New Roman"/>
                  <w:sz w:val="24"/>
                  <w:szCs w:val="24"/>
                </w:rPr>
                <w:t>https://digital.nhs.uk/article/1202/Records-Management-Code-ofPractice-for-Health-and-Social-Care-2016</w:t>
              </w:r>
            </w:hyperlink>
            <w:r w:rsidRPr="00157918">
              <w:rPr>
                <w:rFonts w:ascii="Times New Roman" w:hAnsi="Times New Roman" w:cs="Times New Roman"/>
                <w:sz w:val="24"/>
                <w:szCs w:val="24"/>
              </w:rPr>
              <w:t xml:space="preserve"> or speak to the practice.</w:t>
            </w:r>
          </w:p>
        </w:tc>
      </w:tr>
      <w:tr w:rsidR="00CD5E4A" w:rsidRPr="00157918" w14:paraId="7AAC7602" w14:textId="77777777" w:rsidTr="00591981">
        <w:trPr>
          <w:trHeight w:val="1982"/>
        </w:trPr>
        <w:tc>
          <w:tcPr>
            <w:tcW w:w="3022" w:type="dxa"/>
          </w:tcPr>
          <w:p w14:paraId="12CD4A92" w14:textId="77777777" w:rsidR="00CD5E4A" w:rsidRPr="00157918" w:rsidRDefault="00CD5E4A" w:rsidP="00591981">
            <w:pPr>
              <w:rPr>
                <w:rFonts w:ascii="Times New Roman" w:hAnsi="Times New Roman" w:cs="Times New Roman"/>
                <w:b/>
                <w:bCs/>
                <w:sz w:val="32"/>
                <w:szCs w:val="32"/>
              </w:rPr>
            </w:pPr>
            <w:r w:rsidRPr="00157918">
              <w:rPr>
                <w:rFonts w:ascii="Times New Roman" w:hAnsi="Times New Roman" w:cs="Times New Roman"/>
                <w:b/>
                <w:bCs/>
                <w:sz w:val="32"/>
                <w:szCs w:val="32"/>
              </w:rPr>
              <w:t>Right to complain</w:t>
            </w:r>
          </w:p>
        </w:tc>
        <w:tc>
          <w:tcPr>
            <w:tcW w:w="5994" w:type="dxa"/>
          </w:tcPr>
          <w:p w14:paraId="68B28B6B" w14:textId="77777777" w:rsidR="00CD5E4A" w:rsidRPr="00157918" w:rsidRDefault="00CD5E4A" w:rsidP="00591981">
            <w:pPr>
              <w:pStyle w:val="ListParagraph"/>
              <w:rPr>
                <w:rFonts w:ascii="Times New Roman" w:hAnsi="Times New Roman" w:cs="Times New Roman"/>
                <w:sz w:val="24"/>
                <w:szCs w:val="24"/>
              </w:rPr>
            </w:pPr>
            <w:r w:rsidRPr="00157918">
              <w:rPr>
                <w:rFonts w:ascii="Times New Roman" w:hAnsi="Times New Roman" w:cs="Times New Roman"/>
                <w:sz w:val="24"/>
                <w:szCs w:val="24"/>
              </w:rPr>
              <w:t xml:space="preserve">You have the right to complain to the Information Commissioner’s Office. If you wish to complain follow this link </w:t>
            </w:r>
          </w:p>
          <w:p w14:paraId="249B738C" w14:textId="77777777" w:rsidR="00CD5E4A" w:rsidRPr="00157918" w:rsidRDefault="00076AD4" w:rsidP="00591981">
            <w:pPr>
              <w:pStyle w:val="ListParagraph"/>
              <w:rPr>
                <w:rFonts w:ascii="Times New Roman" w:hAnsi="Times New Roman" w:cs="Times New Roman"/>
                <w:sz w:val="24"/>
                <w:szCs w:val="24"/>
              </w:rPr>
            </w:pPr>
            <w:hyperlink r:id="rId9" w:history="1">
              <w:r w:rsidR="00CD5E4A" w:rsidRPr="00157918">
                <w:rPr>
                  <w:rStyle w:val="Hyperlink"/>
                  <w:rFonts w:ascii="Times New Roman" w:hAnsi="Times New Roman" w:cs="Times New Roman"/>
                  <w:sz w:val="24"/>
                  <w:szCs w:val="24"/>
                </w:rPr>
                <w:t>https://ico.org.uk/global/contact-us/</w:t>
              </w:r>
            </w:hyperlink>
            <w:r w:rsidR="00CD5E4A" w:rsidRPr="00157918">
              <w:rPr>
                <w:rFonts w:ascii="Times New Roman" w:hAnsi="Times New Roman" w:cs="Times New Roman"/>
                <w:sz w:val="24"/>
                <w:szCs w:val="24"/>
              </w:rPr>
              <w:t xml:space="preserve">  or call the helpline </w:t>
            </w:r>
            <w:r w:rsidR="00CD5E4A" w:rsidRPr="00157918">
              <w:rPr>
                <w:rFonts w:ascii="Times New Roman" w:hAnsi="Times New Roman" w:cs="Times New Roman"/>
                <w:b/>
                <w:bCs/>
                <w:sz w:val="32"/>
                <w:szCs w:val="32"/>
              </w:rPr>
              <w:t>0303 123 1113</w:t>
            </w:r>
          </w:p>
        </w:tc>
      </w:tr>
    </w:tbl>
    <w:p w14:paraId="453814C0" w14:textId="77777777" w:rsidR="00CD5E4A" w:rsidRPr="00157918" w:rsidRDefault="00CD5E4A" w:rsidP="00CD5E4A">
      <w:pPr>
        <w:rPr>
          <w:rFonts w:ascii="Times New Roman" w:hAnsi="Times New Roman" w:cs="Times New Roman"/>
          <w:sz w:val="24"/>
          <w:szCs w:val="24"/>
        </w:rPr>
      </w:pPr>
      <w:r w:rsidRPr="00157918">
        <w:rPr>
          <w:rFonts w:ascii="Times New Roman" w:hAnsi="Times New Roman" w:cs="Times New Roman"/>
          <w:sz w:val="24"/>
          <w:szCs w:val="24"/>
        </w:rPr>
        <w:t xml:space="preserve">*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w:t>
      </w:r>
    </w:p>
    <w:p w14:paraId="1380E47E" w14:textId="77777777" w:rsidR="00CD5E4A" w:rsidRPr="00157918" w:rsidRDefault="00CD5E4A" w:rsidP="00CD5E4A">
      <w:pPr>
        <w:rPr>
          <w:rFonts w:ascii="Times New Roman" w:hAnsi="Times New Roman" w:cs="Times New Roman"/>
        </w:rPr>
      </w:pPr>
    </w:p>
    <w:p w14:paraId="52CA67F9" w14:textId="77777777" w:rsidR="00CD5E4A" w:rsidRPr="00157918" w:rsidRDefault="00CD5E4A" w:rsidP="00CD5E4A">
      <w:pPr>
        <w:rPr>
          <w:rFonts w:ascii="Times New Roman" w:hAnsi="Times New Roman" w:cs="Times New Roman"/>
        </w:rPr>
      </w:pPr>
    </w:p>
    <w:p w14:paraId="3A03B01F" w14:textId="79863A6A" w:rsidR="00CD5E4A" w:rsidRPr="00157918" w:rsidRDefault="00CD5E4A" w:rsidP="00CD5E4A">
      <w:pPr>
        <w:rPr>
          <w:rFonts w:ascii="Times New Roman" w:hAnsi="Times New Roman" w:cs="Times New Roman"/>
          <w:sz w:val="28"/>
          <w:szCs w:val="28"/>
        </w:rPr>
      </w:pPr>
      <w:r w:rsidRPr="00157918">
        <w:rPr>
          <w:rFonts w:ascii="Times New Roman" w:hAnsi="Times New Roman" w:cs="Times New Roman"/>
          <w:b/>
          <w:bCs/>
          <w:sz w:val="28"/>
          <w:szCs w:val="28"/>
        </w:rPr>
        <w:t xml:space="preserve">Privacy Notice – </w:t>
      </w:r>
      <w:r w:rsidR="00076AD4">
        <w:rPr>
          <w:rFonts w:ascii="Times New Roman" w:hAnsi="Times New Roman" w:cs="Times New Roman"/>
          <w:b/>
          <w:bCs/>
          <w:sz w:val="28"/>
          <w:szCs w:val="28"/>
        </w:rPr>
        <w:t>Direct care</w:t>
      </w:r>
    </w:p>
    <w:p w14:paraId="3A8867FC" w14:textId="77777777" w:rsidR="00CD5E4A" w:rsidRPr="00157918" w:rsidRDefault="00CD5E4A" w:rsidP="00CD5E4A">
      <w:pPr>
        <w:rPr>
          <w:rFonts w:ascii="Times New Roman" w:hAnsi="Times New Roman" w:cs="Times New Roman"/>
          <w:sz w:val="28"/>
          <w:szCs w:val="28"/>
        </w:rPr>
      </w:pPr>
      <w:r w:rsidRPr="00157918">
        <w:rPr>
          <w:rFonts w:ascii="Times New Roman" w:hAnsi="Times New Roman" w:cs="Times New Roman"/>
          <w:sz w:val="28"/>
          <w:szCs w:val="28"/>
        </w:rPr>
        <w:t xml:space="preserve">The general position is that if information is given in circumstances where it is expected that a duty of confidence applies, that information cannot normally be disclosed without the information provider's consent. </w:t>
      </w:r>
    </w:p>
    <w:p w14:paraId="1E09F668" w14:textId="77777777" w:rsidR="00CD5E4A" w:rsidRPr="00157918" w:rsidRDefault="00CD5E4A" w:rsidP="00CD5E4A">
      <w:pPr>
        <w:rPr>
          <w:rFonts w:ascii="Times New Roman" w:hAnsi="Times New Roman" w:cs="Times New Roman"/>
          <w:sz w:val="28"/>
          <w:szCs w:val="28"/>
        </w:rPr>
      </w:pPr>
    </w:p>
    <w:p w14:paraId="7F3EAEAC" w14:textId="77777777" w:rsidR="00CD5E4A" w:rsidRPr="00157918" w:rsidRDefault="00CD5E4A" w:rsidP="00CD5E4A">
      <w:pPr>
        <w:rPr>
          <w:rFonts w:ascii="Times New Roman" w:hAnsi="Times New Roman" w:cs="Times New Roman"/>
          <w:sz w:val="28"/>
          <w:szCs w:val="28"/>
        </w:rPr>
      </w:pPr>
      <w:r w:rsidRPr="00157918">
        <w:rPr>
          <w:rFonts w:ascii="Times New Roman" w:hAnsi="Times New Roman" w:cs="Times New Roman"/>
          <w:sz w:val="28"/>
          <w:szCs w:val="28"/>
        </w:rPr>
        <w:t xml:space="preserve">In practice, this means that all patient information, whether held on paper, computer, visually or audio recorded, or held in the memory of the professional, </w:t>
      </w:r>
      <w:r w:rsidRPr="00157918">
        <w:rPr>
          <w:rFonts w:ascii="Times New Roman" w:hAnsi="Times New Roman" w:cs="Times New Roman"/>
          <w:sz w:val="28"/>
          <w:szCs w:val="28"/>
        </w:rPr>
        <w:lastRenderedPageBreak/>
        <w:t xml:space="preserve">must not normally be disclosed without the consent of the patient. It is irrelevant how old the patient is or what the state of their mental health is; the duty still applies. </w:t>
      </w:r>
    </w:p>
    <w:p w14:paraId="22BFF3D9" w14:textId="77777777" w:rsidR="00CD5E4A" w:rsidRPr="00157918" w:rsidRDefault="00CD5E4A" w:rsidP="00CD5E4A">
      <w:pPr>
        <w:rPr>
          <w:rFonts w:ascii="Times New Roman" w:hAnsi="Times New Roman" w:cs="Times New Roman"/>
          <w:sz w:val="28"/>
          <w:szCs w:val="28"/>
        </w:rPr>
      </w:pPr>
    </w:p>
    <w:p w14:paraId="38FA8CF2" w14:textId="77777777" w:rsidR="00CD5E4A" w:rsidRPr="00157918" w:rsidRDefault="00CD5E4A" w:rsidP="00CD5E4A">
      <w:pPr>
        <w:rPr>
          <w:rFonts w:ascii="Times New Roman" w:hAnsi="Times New Roman" w:cs="Times New Roman"/>
          <w:sz w:val="28"/>
          <w:szCs w:val="28"/>
        </w:rPr>
      </w:pPr>
      <w:r w:rsidRPr="00157918">
        <w:rPr>
          <w:rFonts w:ascii="Times New Roman" w:hAnsi="Times New Roman" w:cs="Times New Roman"/>
          <w:sz w:val="28"/>
          <w:szCs w:val="28"/>
        </w:rPr>
        <w:t xml:space="preserve">Three circumstances making disclosure of confidential information lawful are: </w:t>
      </w:r>
    </w:p>
    <w:p w14:paraId="7EFDF3D5" w14:textId="77777777" w:rsidR="00CD5E4A" w:rsidRPr="00157918" w:rsidRDefault="00CD5E4A" w:rsidP="00CD5E4A">
      <w:pPr>
        <w:rPr>
          <w:rFonts w:ascii="Times New Roman" w:hAnsi="Times New Roman" w:cs="Times New Roman"/>
          <w:sz w:val="28"/>
          <w:szCs w:val="28"/>
        </w:rPr>
      </w:pPr>
      <w:r w:rsidRPr="00157918">
        <w:rPr>
          <w:rFonts w:ascii="Times New Roman" w:hAnsi="Times New Roman" w:cs="Times New Roman"/>
          <w:sz w:val="28"/>
          <w:szCs w:val="28"/>
        </w:rPr>
        <w:sym w:font="Symbol" w:char="F0B7"/>
      </w:r>
      <w:r w:rsidRPr="00157918">
        <w:rPr>
          <w:rFonts w:ascii="Times New Roman" w:hAnsi="Times New Roman" w:cs="Times New Roman"/>
          <w:sz w:val="28"/>
          <w:szCs w:val="28"/>
        </w:rPr>
        <w:t xml:space="preserve"> where the individual to whom the information relates has consented;</w:t>
      </w:r>
    </w:p>
    <w:p w14:paraId="6F801D00" w14:textId="77777777" w:rsidR="00CD5E4A" w:rsidRPr="00157918" w:rsidRDefault="00CD5E4A" w:rsidP="00CD5E4A">
      <w:pPr>
        <w:rPr>
          <w:rFonts w:ascii="Times New Roman" w:hAnsi="Times New Roman" w:cs="Times New Roman"/>
          <w:sz w:val="28"/>
          <w:szCs w:val="28"/>
        </w:rPr>
      </w:pPr>
      <w:r w:rsidRPr="00157918">
        <w:rPr>
          <w:rFonts w:ascii="Times New Roman" w:hAnsi="Times New Roman" w:cs="Times New Roman"/>
          <w:sz w:val="28"/>
          <w:szCs w:val="28"/>
        </w:rPr>
        <w:t xml:space="preserve"> </w:t>
      </w:r>
      <w:r w:rsidRPr="00157918">
        <w:rPr>
          <w:rFonts w:ascii="Times New Roman" w:hAnsi="Times New Roman" w:cs="Times New Roman"/>
          <w:sz w:val="28"/>
          <w:szCs w:val="28"/>
        </w:rPr>
        <w:sym w:font="Symbol" w:char="F0B7"/>
      </w:r>
      <w:r w:rsidRPr="00157918">
        <w:rPr>
          <w:rFonts w:ascii="Times New Roman" w:hAnsi="Times New Roman" w:cs="Times New Roman"/>
          <w:sz w:val="28"/>
          <w:szCs w:val="28"/>
        </w:rPr>
        <w:t xml:space="preserve"> where disclosure is in the public interest; and</w:t>
      </w:r>
    </w:p>
    <w:p w14:paraId="20E57520" w14:textId="4AD1981D" w:rsidR="00CD5E4A" w:rsidRPr="00157918" w:rsidRDefault="00CD5E4A" w:rsidP="00CD5E4A">
      <w:pPr>
        <w:rPr>
          <w:rFonts w:ascii="Times New Roman" w:hAnsi="Times New Roman" w:cs="Times New Roman"/>
          <w:sz w:val="28"/>
          <w:szCs w:val="28"/>
        </w:rPr>
      </w:pPr>
      <w:r w:rsidRPr="00157918">
        <w:rPr>
          <w:rFonts w:ascii="Times New Roman" w:hAnsi="Times New Roman" w:cs="Times New Roman"/>
          <w:sz w:val="28"/>
          <w:szCs w:val="28"/>
        </w:rPr>
        <w:t xml:space="preserve"> </w:t>
      </w:r>
      <w:r w:rsidRPr="00157918">
        <w:rPr>
          <w:rFonts w:ascii="Times New Roman" w:hAnsi="Times New Roman" w:cs="Times New Roman"/>
          <w:sz w:val="28"/>
          <w:szCs w:val="28"/>
        </w:rPr>
        <w:sym w:font="Symbol" w:char="F0B7"/>
      </w:r>
      <w:r w:rsidRPr="00157918">
        <w:rPr>
          <w:rFonts w:ascii="Times New Roman" w:hAnsi="Times New Roman" w:cs="Times New Roman"/>
          <w:sz w:val="28"/>
          <w:szCs w:val="28"/>
        </w:rPr>
        <w:t xml:space="preserve"> where there is a legal duty to do so, for example a court order.</w:t>
      </w:r>
    </w:p>
    <w:p w14:paraId="1DCB044D" w14:textId="77777777" w:rsidR="00CD5E4A" w:rsidRPr="00157918" w:rsidRDefault="00CD5E4A" w:rsidP="00CD5E4A">
      <w:pPr>
        <w:rPr>
          <w:rFonts w:ascii="Times New Roman" w:hAnsi="Times New Roman" w:cs="Times New Roman"/>
        </w:rPr>
      </w:pPr>
    </w:p>
    <w:p w14:paraId="1070AFE1" w14:textId="77777777" w:rsidR="00CD5E4A" w:rsidRPr="00157918" w:rsidRDefault="00CD5E4A" w:rsidP="00CD5E4A">
      <w:pPr>
        <w:rPr>
          <w:rFonts w:ascii="Times New Roman" w:hAnsi="Times New Roman" w:cs="Times New Roman"/>
          <w:b/>
          <w:bCs/>
        </w:rPr>
      </w:pPr>
    </w:p>
    <w:p w14:paraId="75210319" w14:textId="77777777" w:rsidR="00163F76" w:rsidRPr="00157918" w:rsidRDefault="00163F76">
      <w:pPr>
        <w:rPr>
          <w:rFonts w:ascii="Times New Roman" w:hAnsi="Times New Roman" w:cs="Times New Roman"/>
        </w:rPr>
      </w:pPr>
    </w:p>
    <w:sectPr w:rsidR="00163F76" w:rsidRPr="00157918" w:rsidSect="00CD5E4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A94D7" w14:textId="77777777" w:rsidR="00157918" w:rsidRDefault="00157918">
      <w:pPr>
        <w:spacing w:after="0" w:line="240" w:lineRule="auto"/>
      </w:pPr>
      <w:r>
        <w:separator/>
      </w:r>
    </w:p>
  </w:endnote>
  <w:endnote w:type="continuationSeparator" w:id="0">
    <w:p w14:paraId="45C12C5E" w14:textId="77777777" w:rsidR="00157918" w:rsidRDefault="0015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1C6E0" w14:textId="77777777" w:rsidR="00157918" w:rsidRDefault="00157918">
      <w:pPr>
        <w:spacing w:after="0" w:line="240" w:lineRule="auto"/>
      </w:pPr>
      <w:r>
        <w:separator/>
      </w:r>
    </w:p>
  </w:footnote>
  <w:footnote w:type="continuationSeparator" w:id="0">
    <w:p w14:paraId="52761C9B" w14:textId="77777777" w:rsidR="00157918" w:rsidRDefault="00157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FD2A" w14:textId="2FC744BE" w:rsidR="00CD5E4A" w:rsidRPr="00BB74F1" w:rsidRDefault="00157918" w:rsidP="00BB74F1">
    <w:pPr>
      <w:pStyle w:val="Header"/>
      <w:jc w:val="center"/>
      <w:rPr>
        <w:rFonts w:ascii="Times New Roman" w:hAnsi="Times New Roman" w:cs="Times New Roman"/>
        <w:sz w:val="36"/>
        <w:szCs w:val="36"/>
      </w:rPr>
    </w:pPr>
    <w:r>
      <w:rPr>
        <w:sz w:val="36"/>
        <w:szCs w:val="36"/>
      </w:rPr>
      <w:t>LANGBANK</w:t>
    </w:r>
    <w:r w:rsidR="00CD5E4A" w:rsidRPr="00BB74F1">
      <w:rPr>
        <w:sz w:val="36"/>
        <w:szCs w:val="36"/>
      </w:rPr>
      <w:t xml:space="preserve">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C3311"/>
    <w:multiLevelType w:val="hybridMultilevel"/>
    <w:tmpl w:val="9E26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20B9F"/>
    <w:multiLevelType w:val="hybridMultilevel"/>
    <w:tmpl w:val="2B3E4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186433">
    <w:abstractNumId w:val="0"/>
  </w:num>
  <w:num w:numId="2" w16cid:durableId="137461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D3"/>
    <w:rsid w:val="00076AD4"/>
    <w:rsid w:val="00157918"/>
    <w:rsid w:val="00163F76"/>
    <w:rsid w:val="006E4263"/>
    <w:rsid w:val="00807FD3"/>
    <w:rsid w:val="00CD5E4A"/>
    <w:rsid w:val="00D40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8311"/>
  <w15:chartTrackingRefBased/>
  <w15:docId w15:val="{832AC661-FC3A-4B42-8BC8-F950B83A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4A"/>
  </w:style>
  <w:style w:type="paragraph" w:styleId="Heading1">
    <w:name w:val="heading 1"/>
    <w:basedOn w:val="Normal"/>
    <w:next w:val="Normal"/>
    <w:link w:val="Heading1Char"/>
    <w:uiPriority w:val="9"/>
    <w:qFormat/>
    <w:rsid w:val="00807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F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F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F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F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F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FD3"/>
    <w:rPr>
      <w:rFonts w:eastAsiaTheme="majorEastAsia" w:cstheme="majorBidi"/>
      <w:color w:val="272727" w:themeColor="text1" w:themeTint="D8"/>
    </w:rPr>
  </w:style>
  <w:style w:type="paragraph" w:styleId="Title">
    <w:name w:val="Title"/>
    <w:basedOn w:val="Normal"/>
    <w:next w:val="Normal"/>
    <w:link w:val="TitleChar"/>
    <w:uiPriority w:val="10"/>
    <w:qFormat/>
    <w:rsid w:val="00807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F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FD3"/>
    <w:pPr>
      <w:spacing w:before="160"/>
      <w:jc w:val="center"/>
    </w:pPr>
    <w:rPr>
      <w:i/>
      <w:iCs/>
      <w:color w:val="404040" w:themeColor="text1" w:themeTint="BF"/>
    </w:rPr>
  </w:style>
  <w:style w:type="character" w:customStyle="1" w:styleId="QuoteChar">
    <w:name w:val="Quote Char"/>
    <w:basedOn w:val="DefaultParagraphFont"/>
    <w:link w:val="Quote"/>
    <w:uiPriority w:val="29"/>
    <w:rsid w:val="00807FD3"/>
    <w:rPr>
      <w:i/>
      <w:iCs/>
      <w:color w:val="404040" w:themeColor="text1" w:themeTint="BF"/>
    </w:rPr>
  </w:style>
  <w:style w:type="paragraph" w:styleId="ListParagraph">
    <w:name w:val="List Paragraph"/>
    <w:basedOn w:val="Normal"/>
    <w:uiPriority w:val="34"/>
    <w:qFormat/>
    <w:rsid w:val="00807FD3"/>
    <w:pPr>
      <w:ind w:left="720"/>
      <w:contextualSpacing/>
    </w:pPr>
  </w:style>
  <w:style w:type="character" w:styleId="IntenseEmphasis">
    <w:name w:val="Intense Emphasis"/>
    <w:basedOn w:val="DefaultParagraphFont"/>
    <w:uiPriority w:val="21"/>
    <w:qFormat/>
    <w:rsid w:val="00807FD3"/>
    <w:rPr>
      <w:i/>
      <w:iCs/>
      <w:color w:val="0F4761" w:themeColor="accent1" w:themeShade="BF"/>
    </w:rPr>
  </w:style>
  <w:style w:type="paragraph" w:styleId="IntenseQuote">
    <w:name w:val="Intense Quote"/>
    <w:basedOn w:val="Normal"/>
    <w:next w:val="Normal"/>
    <w:link w:val="IntenseQuoteChar"/>
    <w:uiPriority w:val="30"/>
    <w:qFormat/>
    <w:rsid w:val="00807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FD3"/>
    <w:rPr>
      <w:i/>
      <w:iCs/>
      <w:color w:val="0F4761" w:themeColor="accent1" w:themeShade="BF"/>
    </w:rPr>
  </w:style>
  <w:style w:type="character" w:styleId="IntenseReference">
    <w:name w:val="Intense Reference"/>
    <w:basedOn w:val="DefaultParagraphFont"/>
    <w:uiPriority w:val="32"/>
    <w:qFormat/>
    <w:rsid w:val="00807FD3"/>
    <w:rPr>
      <w:b/>
      <w:bCs/>
      <w:smallCaps/>
      <w:color w:val="0F4761" w:themeColor="accent1" w:themeShade="BF"/>
      <w:spacing w:val="5"/>
    </w:rPr>
  </w:style>
  <w:style w:type="paragraph" w:styleId="Header">
    <w:name w:val="header"/>
    <w:basedOn w:val="Normal"/>
    <w:link w:val="HeaderChar"/>
    <w:uiPriority w:val="99"/>
    <w:unhideWhenUsed/>
    <w:rsid w:val="00CD5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E4A"/>
  </w:style>
  <w:style w:type="table" w:styleId="TableGrid">
    <w:name w:val="Table Grid"/>
    <w:basedOn w:val="TableNormal"/>
    <w:uiPriority w:val="39"/>
    <w:rsid w:val="00CD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E4A"/>
    <w:rPr>
      <w:color w:val="467886" w:themeColor="hyperlink"/>
      <w:u w:val="single"/>
    </w:rPr>
  </w:style>
  <w:style w:type="paragraph" w:styleId="Footer">
    <w:name w:val="footer"/>
    <w:basedOn w:val="Normal"/>
    <w:link w:val="FooterChar"/>
    <w:uiPriority w:val="99"/>
    <w:unhideWhenUsed/>
    <w:rsid w:val="00157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3" Type="http://schemas.openxmlformats.org/officeDocument/2006/relationships/settings" Target="settings.xml"/><Relationship Id="rId7" Type="http://schemas.openxmlformats.org/officeDocument/2006/relationships/hyperlink" Target="mailto:DPO.IM@imerseyside.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 Shajee</dc:creator>
  <cp:keywords/>
  <dc:description/>
  <cp:lastModifiedBy>N82019, Gp (NHS CHESHIRE AND MERSEYSIDE ICB - 99A)</cp:lastModifiedBy>
  <cp:revision>6</cp:revision>
  <dcterms:created xsi:type="dcterms:W3CDTF">2024-03-25T11:14:00Z</dcterms:created>
  <dcterms:modified xsi:type="dcterms:W3CDTF">2024-03-26T15:24:00Z</dcterms:modified>
</cp:coreProperties>
</file>